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jc w:val="right"/>
      </w:pP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  <w:sz w:val="22"/>
          <w:szCs w:val="22"/>
        </w:rPr>
        <w:t>02-</w:t>
      </w:r>
      <w:r>
        <w:rPr>
          <w:rFonts w:ascii="Times New Roman" w:eastAsia="Times New Roman" w:hAnsi="Times New Roman" w:cs="Times New Roman"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>507</w:t>
      </w:r>
      <w:r>
        <w:rPr>
          <w:rFonts w:ascii="Times New Roman" w:eastAsia="Times New Roman" w:hAnsi="Times New Roman" w:cs="Times New Roman"/>
          <w:sz w:val="22"/>
          <w:szCs w:val="22"/>
        </w:rPr>
        <w:t>/26</w:t>
      </w:r>
      <w:r>
        <w:rPr>
          <w:rFonts w:ascii="Times New Roman" w:eastAsia="Times New Roman" w:hAnsi="Times New Roman" w:cs="Times New Roman"/>
          <w:sz w:val="22"/>
          <w:szCs w:val="22"/>
        </w:rPr>
        <w:t>13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keepNext/>
        <w:spacing w:before="0" w:after="0"/>
        <w:jc w:val="right"/>
      </w:pPr>
    </w:p>
    <w:p>
      <w:pPr>
        <w:keepNext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Сургут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tabs>
          <w:tab w:val="left" w:pos="8295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Айткулова Д.Б.,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секретаре </w:t>
      </w:r>
      <w:r>
        <w:rPr>
          <w:rFonts w:ascii="Times New Roman" w:eastAsia="Times New Roman" w:hAnsi="Times New Roman" w:cs="Times New Roman"/>
          <w:sz w:val="28"/>
          <w:szCs w:val="28"/>
        </w:rPr>
        <w:t>Шакура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Т.Ю.,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</w:t>
      </w:r>
      <w:r>
        <w:rPr>
          <w:rFonts w:ascii="Times New Roman" w:eastAsia="Times New Roman" w:hAnsi="Times New Roman" w:cs="Times New Roman"/>
          <w:sz w:val="28"/>
          <w:szCs w:val="28"/>
        </w:rPr>
        <w:t>овому заявлению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МКК «Корона»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Владимиру Ивановичу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займа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3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 30.12.2024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sz w:val="28"/>
          <w:szCs w:val="28"/>
        </w:rPr>
        <w:t>взыскании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расходов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статьями 167, 194 - 199 Гражданского процессуального кодекса РФ, мировой судья 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общества с ограниченной ответственностью МКК «Корона» к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Владимиру Ивановичу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взыскании суммы задолженности по договору потребительского займа № </w:t>
      </w:r>
      <w:r>
        <w:rPr>
          <w:rStyle w:val="cat-UserDefinedgrp-2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30.12.2024, а также взыскании расходов по оплате государственной пошлины</w:t>
      </w:r>
      <w:r>
        <w:rPr>
          <w:rFonts w:ascii="Times New Roman" w:eastAsia="Times New Roman" w:hAnsi="Times New Roman" w:cs="Times New Roman"/>
          <w:sz w:val="28"/>
          <w:szCs w:val="28"/>
        </w:rPr>
        <w:t>– удовлетворить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sz w:val="28"/>
          <w:szCs w:val="28"/>
        </w:rPr>
        <w:t>Островерхова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Владимира Ивановича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4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общества с ограниченной ответственностью МКК «Корона»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ИНН 1909001476, КПП 541001001, ОГРН 1121902000879,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сумму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договору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потребительского займа № </w:t>
      </w:r>
      <w:r>
        <w:rPr>
          <w:rStyle w:val="cat-UserDefinedgrp-23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30.12.2024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23 000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 три тысячи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рублей 00 копеек (из которых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000 рублей – задолженность по основному долгу, </w:t>
      </w:r>
      <w:r>
        <w:rPr>
          <w:rFonts w:ascii="Times New Roman" w:eastAsia="Times New Roman" w:hAnsi="Times New Roman" w:cs="Times New Roman"/>
          <w:sz w:val="28"/>
          <w:szCs w:val="28"/>
        </w:rPr>
        <w:t>12 703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рубля 25 коп.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задолженность по процентам за пользование займом</w:t>
      </w:r>
      <w:r>
        <w:rPr>
          <w:rFonts w:ascii="Times New Roman" w:eastAsia="Times New Roman" w:hAnsi="Times New Roman" w:cs="Times New Roman"/>
          <w:sz w:val="28"/>
          <w:szCs w:val="28"/>
        </w:rPr>
        <w:t>, 296 руб. 75 коп – задолженность по неустойке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</w:t>
      </w:r>
      <w:r>
        <w:rPr>
          <w:rFonts w:ascii="Times New Roman" w:eastAsia="Times New Roman" w:hAnsi="Times New Roman" w:cs="Times New Roman"/>
          <w:sz w:val="28"/>
          <w:szCs w:val="28"/>
        </w:rPr>
        <w:t>) рубл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копе</w:t>
      </w:r>
      <w:r>
        <w:rPr>
          <w:rFonts w:ascii="Times New Roman" w:eastAsia="Times New Roman" w:hAnsi="Times New Roman" w:cs="Times New Roman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сторонам, что заявление о составлении мотивированного решения суда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</w:t>
      </w:r>
      <w:r>
        <w:rPr>
          <w:rFonts w:ascii="Times New Roman" w:eastAsia="Times New Roman" w:hAnsi="Times New Roman" w:cs="Times New Roman"/>
          <w:sz w:val="28"/>
          <w:szCs w:val="28"/>
        </w:rPr>
        <w:t>участвующие в деле, их представители не присутствовали в судебном заседании.</w:t>
      </w:r>
    </w:p>
    <w:p>
      <w:pPr>
        <w:spacing w:before="0" w:after="0"/>
        <w:ind w:firstLine="68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Ханты-Мансийского автономного округа-Югры в течение месяца со дня принятия решения суда в окончательной форме, путём подачи апелляционной жалобы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</w:t>
      </w:r>
      <w:r>
        <w:rPr>
          <w:rFonts w:ascii="Times New Roman" w:eastAsia="Times New Roman" w:hAnsi="Times New Roman" w:cs="Times New Roman"/>
          <w:sz w:val="28"/>
          <w:szCs w:val="28"/>
        </w:rPr>
        <w:t>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68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Д.Б. Айткулова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25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Подлинный документ хранится в деле № 02-</w:t>
      </w:r>
      <w:r>
        <w:rPr>
          <w:rFonts w:ascii="Times New Roman" w:eastAsia="Times New Roman" w:hAnsi="Times New Roman" w:cs="Times New Roman"/>
        </w:rPr>
        <w:t>1507</w:t>
      </w:r>
      <w:r>
        <w:rPr>
          <w:rFonts w:ascii="Times New Roman" w:eastAsia="Times New Roman" w:hAnsi="Times New Roman" w:cs="Times New Roman"/>
        </w:rPr>
        <w:t>/26</w:t>
      </w:r>
      <w:r>
        <w:rPr>
          <w:rFonts w:ascii="Times New Roman" w:eastAsia="Times New Roman" w:hAnsi="Times New Roman" w:cs="Times New Roman"/>
        </w:rPr>
        <w:t>13</w:t>
      </w:r>
      <w:r>
        <w:rPr>
          <w:rFonts w:ascii="Times New Roman" w:eastAsia="Times New Roman" w:hAnsi="Times New Roman" w:cs="Times New Roman"/>
        </w:rPr>
        <w:t>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 xml:space="preserve">Судебный акт не вступил в законную силу по состоянию на </w:t>
      </w:r>
      <w:r>
        <w:rPr>
          <w:rFonts w:ascii="Times New Roman" w:eastAsia="Times New Roman" w:hAnsi="Times New Roman" w:cs="Times New Roman"/>
        </w:rPr>
        <w:t>25 июня</w:t>
      </w:r>
      <w:r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 года</w:t>
      </w:r>
    </w:p>
    <w:sectPr>
      <w:headerReference w:type="default" r:id="rId4"/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Ind w:w="1196" w:type="dxa"/>
      <w:tblBorders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tblBorders>
      <w:tblCellMar>
        <w:top w:w="0" w:type="dxa"/>
        <w:left w:w="0" w:type="dxa"/>
        <w:bottom w:w="0" w:type="dxa"/>
        <w:right w:w="0" w:type="dxa"/>
      </w:tblCellMar>
    </w:tblPr>
    <w:tblGrid>
      <w:gridCol w:w="1451"/>
      <w:gridCol w:w="1611"/>
    </w:tblGrid>
    <w:tr>
      <w:tblPrEx>
        <w:tblInd w:w="1196" w:type="dxa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hRule="exact" w:val="57"/>
      </w:trPr>
      <w:tc>
        <w:tcPr>
          <w:tcW w:w="689" w:type="dxa"/>
          <w:tcBorders>
            <w:righ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http://sr-srg-pkms1/xlp7/</w:t>
          </w:r>
        </w:p>
      </w:tc>
      <w:tc>
        <w:tcPr>
          <w:tcW w:w="693" w:type="dxa"/>
          <w:tcBorders>
            <w:left w:val="single" w:sz="6" w:space="0" w:color="FFFFFF"/>
          </w:tcBorders>
          <w:noWrap w:val="0"/>
          <w:tcMar>
            <w:top w:w="8" w:type="dxa"/>
            <w:left w:w="108" w:type="dxa"/>
            <w:bottom w:w="8" w:type="dxa"/>
            <w:right w:w="108" w:type="dxa"/>
          </w:tcMar>
          <w:vAlign w:val="top"/>
          <w:hideMark/>
        </w:tcPr>
        <w:p>
          <w:pPr>
            <w:spacing w:before="0" w:after="0"/>
            <w:rPr>
              <w:b w:val="0"/>
              <w:bCs w:val="0"/>
              <w:i w:val="0"/>
              <w:iCs w:val="0"/>
              <w:smallCaps w:val="0"/>
              <w:color w:val="000000"/>
            </w:rPr>
          </w:pPr>
          <w:r>
            <w:rPr>
              <w:rFonts w:ascii="Times New Roman" w:eastAsia="Times New Roman" w:hAnsi="Times New Roman" w:cs="Times New Roman"/>
              <w:b w:val="0"/>
              <w:bCs w:val="0"/>
              <w:i w:val="0"/>
              <w:iCs w:val="0"/>
              <w:smallCaps w:val="0"/>
              <w:color w:val="000000"/>
            </w:rPr>
            <w:t>35a0e098-c1e5-4870-bfcd-c62fbdee1dd0</w:t>
          </w:r>
        </w:p>
      </w:tc>
    </w:tr>
  </w:tbl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23rplc-7">
    <w:name w:val="cat-UserDefined grp-23 rplc-7"/>
    <w:basedOn w:val="DefaultParagraphFont"/>
  </w:style>
  <w:style w:type="character" w:customStyle="1" w:styleId="cat-UserDefinedgrp-23rplc-11">
    <w:name w:val="cat-UserDefined grp-23 rplc-11"/>
    <w:basedOn w:val="DefaultParagraphFont"/>
  </w:style>
  <w:style w:type="character" w:customStyle="1" w:styleId="cat-UserDefinedgrp-24rplc-16">
    <w:name w:val="cat-UserDefined grp-24 rplc-16"/>
    <w:basedOn w:val="DefaultParagraphFont"/>
  </w:style>
  <w:style w:type="character" w:customStyle="1" w:styleId="cat-UserDefinedgrp-23rplc-25">
    <w:name w:val="cat-UserDefined grp-23 rplc-25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